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Reporting requirement</w:t>
      </w:r>
    </w:p>
    <w:p>
      <w:pPr>
        <w:jc w:val="both"/>
        <w:spacing w:before="100" w:after="0"/>
        <w:ind w:start="360"/>
        <w:ind w:firstLine="360"/>
      </w:pPr>
      <w:r>
        <w:rPr>
          <w:b/>
        </w:rPr>
        <w:t>1</w:t>
        <w:t xml:space="preserve">.  </w:t>
      </w:r>
      <w:r>
        <w:rPr>
          <w:b/>
        </w:rPr>
        <w:t xml:space="preserve">Report.</w:t>
        <w:t xml:space="preserve"> </w:t>
      </w:r>
      <w:r>
        <w:t xml:space="preserve"> </w:t>
      </w:r>
      <w:r>
        <w:t xml:space="preserve">Each health care institution which receives funds from the department shall annually report to the department the amount paid to any person for the purpose of influencing its employees, respecting unionization, or attempts to coerce employees to otherwise interfere with or restrain the exercise of employee rights to organize and choose representatives for the purpose of negotiating the terms and conditions of their employment or other mutual aid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Violation of this section shall result in an administrative fine of up to $500 for each offense, as determined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 Reporting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Reporting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§1865. REPORTING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