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2031-A</w:t>
        <w:t xml:space="preserve">.  </w:t>
      </w:r>
      <w:r>
        <w:rPr>
          <w:b/>
        </w:rPr>
        <w:t xml:space="preserve">Itemized billing statements</w:t>
      </w:r>
    </w:p>
    <w:p>
      <w:pPr>
        <w:jc w:val="both"/>
        <w:spacing w:before="100" w:after="100"/>
        <w:ind w:start="360"/>
        <w:ind w:firstLine="360"/>
      </w:pPr>
      <w:r>
        <w:rPr/>
      </w:r>
      <w:r>
        <w:rPr/>
      </w:r>
      <w:r>
        <w:t xml:space="preserve">A medical laboratory that performs services under this Act shall send an itemized billing statement to the patient.</w:t>
      </w:r>
      <w:r>
        <w:t xml:space="preserve">  </w:t>
      </w:r>
      <w:r xmlns:wp="http://schemas.openxmlformats.org/drawingml/2010/wordprocessingDrawing" xmlns:w15="http://schemas.microsoft.com/office/word/2012/wordml">
        <w:rPr>
          <w:rFonts w:ascii="Arial" w:hAnsi="Arial" w:cs="Arial"/>
          <w:sz w:val="22"/>
          <w:szCs w:val="22"/>
        </w:rPr>
        <w:t xml:space="preserve">[PL 2011, c. 531,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§2031-A. Itemized billing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§2031-A. Itemized billing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§2031-A. ITEMIZED BILLING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