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2033</w:t>
        <w:t xml:space="preserve">.  </w:t>
      </w:r>
      <w:r>
        <w:rPr>
          <w:b/>
        </w:rPr>
        <w:t xml:space="preserve">Rebates or fee splitting prohibited</w:t>
      </w:r>
    </w:p>
    <w:p>
      <w:pPr>
        <w:jc w:val="both"/>
        <w:spacing w:before="100" w:after="100"/>
        <w:ind w:start="360"/>
        <w:ind w:firstLine="360"/>
      </w:pPr>
      <w:r>
        <w:rPr/>
      </w:r>
      <w:r>
        <w:rPr/>
      </w:r>
      <w:r>
        <w:t xml:space="preserve">The owner or director of a laboratory licensed under this Act, either personally or through an agent, may not practice in any manner that offers or implies to offer rebates to persons submitting specimens or other fee splitting inducements or participate in any fee splitting arrangement. This applies to contents of fee schedules, billing methods or personal solicitation. The contractual provision of laboratory services for a fixed fee independent of the number of specimens submitted for such services is declared to be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531,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1973, c. 179 (AMD). PL 1975, c. 218 (RPR). PL 2011, c. 531,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§2033. Rebates or fee splitting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§2033. Rebates or fee splitting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§2033. REBATES OR FEE SPLITTING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