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Notes of the authority</w:t>
      </w:r>
    </w:p>
    <w:p>
      <w:pPr>
        <w:jc w:val="both"/>
        <w:spacing w:before="100" w:after="100"/>
        <w:ind w:start="360"/>
        <w:ind w:firstLine="360"/>
      </w:pPr>
      <w:r>
        <w:rPr/>
      </w:r>
      <w:r>
        <w:rPr/>
      </w:r>
      <w:r>
        <w:t xml:space="preserve">The authority is authorized from time to time to issue its negotiable notes for any corporate purpose, including the payment of all or any part of the cost of any project, and renew from time to time any notes by the issuance of new notes, whether the notes to be renewed have or have not matured. The authority may issue notes partly to renew notes or to discharge other obligations then outstanding and partly for any other purpose. The notes may be authorized, sold, executed and delivered in the same manner as bonds. Any resolution or resolutions authorizing notes of the authority or any issue thereof may contain any provisions which the authority is authorized to include in any resolution or resolutions authorizing bonds of the authority or any issue thereof, and the authority may include in any notes any terms, covenants or conditions which it is authorized to include in any bonds. All such notes shall be payable from the proceeds of bonds or renewal notes or from the revenues of the authority or other moneys available therefor and not otherwise pledged, subject only to any contractual rights of the holders of any of its notes or other obligations then outstanding.</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Notes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Notes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§2059. NOTES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