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Act cumulative; no notice required</w:t>
      </w:r>
    </w:p>
    <w:p>
      <w:pPr>
        <w:jc w:val="both"/>
        <w:spacing w:before="100" w:after="100"/>
        <w:ind w:start="360"/>
        <w:ind w:firstLine="360"/>
      </w:pPr>
      <w:r>
        <w:rPr/>
      </w:r>
      <w:r>
        <w:rPr/>
      </w:r>
      <w:r>
        <w:t xml:space="preserve">Neither this chapter nor anything contained in this chapter is or shall be construed as a restriction or limitation upon any powers which the Maine Health and Higher Educational Facilities Authority might otherwise have under any laws of this State, and this chapter is cumulative of any such powers. This chapter does and shall be construed to provide a complete, additional and alternative method for the doing of the things authorized thereby and shall be regarded as supplemental and additional to powers conferred by other laws. Neither the making of contracts nor the issuance of bonds, notes, refunding bonds and other obligations pursuant to the provisions of this chapter need comply with the requirements of any other state law applicable to the making of contracts and the issuance of bonds, notes and other obligations, for the construction and acquisition of any project undertaken pursuant to this chapter. No proceedings, notice or approval shall be required for the issuance of any bonds, notes and other obligations or any instrument as security therefor, except as is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1979, c. 680,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§2073.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§2073.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