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Criminal background checks</w:t>
      </w:r>
    </w:p>
    <w:p>
      <w:pPr>
        <w:jc w:val="both"/>
        <w:spacing w:before="100" w:after="100"/>
        <w:ind w:start="360"/>
        <w:ind w:firstLine="360"/>
      </w:pPr>
      <w:r>
        <w:rPr/>
      </w:r>
      <w:r>
        <w:rPr/>
      </w:r>
      <w:r>
        <w:t xml:space="preserve">Beginning October 1, 2010, a temporary nurse agency, prior to hiring, employing or placing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temporary nurse agency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§10 (AMD); PL 2015, c. 299, §18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2015, c. 196, §10 (AMD). PL 2015, c. 299,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§2137.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§2137.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