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2148</w:t>
        <w:t xml:space="preserve">.  </w:t>
      </w:r>
      <w:r>
        <w:rPr>
          <w:b/>
        </w:rPr>
        <w:t xml:space="preserve">Right of entry and inspection</w:t>
      </w:r>
    </w:p>
    <w:p>
      <w:pPr>
        <w:jc w:val="both"/>
        <w:spacing w:before="100" w:after="100"/>
        <w:ind w:start="360"/>
        <w:ind w:firstLine="360"/>
      </w:pPr>
      <w:r>
        <w:rPr/>
      </w:r>
      <w:r>
        <w:rPr/>
      </w:r>
      <w:r>
        <w:t xml:space="preserve">The department and any duly designated officer or employee thereof shall have the right to enter upon and into the premises of any home health care provider who has applied for a license or who is licensed pursuant to this chapter at any reasonable time and, upon demand, have the right to inspect and copy books, accounts, papers, records and other documents in order to determine the state of compliance with this chapter and any rules in force pursuant thereto.  The right of entry and inspection shall extend to any premises and documents of providers whom the department has reason to believe are providing home health services without a license, but no such entry or inspection may be unreasonable or made without the permission of the owner or person in charge thereof, unless a warrant is first obtained from the District Court authorizing that entry or inspection.</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§2148. Right of entry and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§2148. Right of entry and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§2148. RIGHT OF ENTRY AND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