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Exception</w:t>
      </w:r>
    </w:p>
    <w:p>
      <w:pPr>
        <w:jc w:val="both"/>
        <w:spacing w:before="100" w:after="100"/>
        <w:ind w:start="360"/>
        <w:ind w:firstLine="360"/>
      </w:pPr>
      <w:r>
        <w:rPr/>
      </w:r>
      <w:r>
        <w:rPr/>
      </w:r>
      <w:r>
        <w:t xml:space="preserve">Any establishment subject to this chapter and </w:t>
      </w:r>
      <w:r>
        <w:t>chapter 562</w:t>
      </w:r>
      <w:r>
        <w:t xml:space="preserve"> shall be required to have only one license and that license shall be issued on the predominate portion of the establishment's business.</w:t>
      </w:r>
      <w:r>
        <w:t xml:space="preserve">  </w:t>
      </w:r>
      <w:r xmlns:wp="http://schemas.openxmlformats.org/drawingml/2010/wordprocessingDrawing" xmlns:w15="http://schemas.microsoft.com/office/word/2012/wordml">
        <w:rPr>
          <w:rFonts w:ascii="Arial" w:hAnsi="Arial" w:cs="Arial"/>
          <w:sz w:val="22"/>
          <w:szCs w:val="22"/>
        </w:rPr>
        <w:t xml:space="preserve">[PL 1979, c. 672, Pt. A,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§2170.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§2170.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