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w:t>
        <w:t xml:space="preserve">.  </w:t>
      </w:r>
      <w:r>
        <w:rPr>
          <w:b/>
        </w:rPr>
        <w:t xml:space="preserve">Suspension or revocation; appeals</w:t>
      </w:r>
    </w:p>
    <w:p>
      <w:pPr>
        <w:jc w:val="both"/>
        <w:spacing w:before="100" w:after="100"/>
        <w:ind w:start="360"/>
        <w:ind w:firstLine="360"/>
      </w:pPr>
      <w:r>
        <w:rPr/>
      </w:r>
      <w:r>
        <w:rPr/>
      </w:r>
      <w:r>
        <w:t xml:space="preserve">When the department believes a license should be suspended or revoked, it shall file a complaint with the District Court in conformity with the Maine Administrative Procedure Act. A person aggrieved by the refusal of the department to issue a license may request a hearing in conformity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§352 (AMD); PL 1999, c. 547, Pt. B, §78 (AMD); PL 1999, c. 547, Pt. B, §80 (AFF).]</w:t>
      </w:r>
    </w:p>
    <w:p>
      <w:pPr>
        <w:jc w:val="both"/>
        <w:spacing w:before="100" w:after="100"/>
        <w:ind w:start="360"/>
        <w:ind w:firstLine="360"/>
      </w:pPr>
      <w:r>
        <w:rPr/>
      </w:r>
      <w:r>
        <w:rPr/>
      </w:r>
      <w:r>
        <w:t xml:space="preserve">Whenever, upon inspection, conditions are found which violate this chapter or regulations adopted thereunder, or which may endanger the life, health or safety of persons living in or attending any licensed establishment under this chapter, the department may request an emergency suspension of license of the District Court pursuant to </w:t>
      </w:r>
      <w:r>
        <w:t>Title 4, section 184, subsection 6</w:t>
      </w:r>
      <w:r>
        <w:t xml:space="preserve">, and the court may grant suspension subject to reinstatement following a hearing before the court if cause is not shown.</w:t>
      </w:r>
      <w:r>
        <w:t xml:space="preserve">  </w:t>
      </w:r>
      <w:r xmlns:wp="http://schemas.openxmlformats.org/drawingml/2010/wordprocessingDrawing" xmlns:w15="http://schemas.microsoft.com/office/word/2012/wordml">
        <w:rPr>
          <w:rFonts w:ascii="Arial" w:hAnsi="Arial" w:cs="Arial"/>
          <w:sz w:val="22"/>
          <w:szCs w:val="22"/>
        </w:rPr>
        <w:t xml:space="preserve">[PL 1999, c. 547, Pt. B, §41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§352 (AMD). PL 1981, c. 203, §2 (AMD). PL 1999, c. 547, §§B41,78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 Suspension or revocation;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 Suspension or revocation;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§2500. SUSPENSION OR REVOCATION;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