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§2613. VARIANCES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