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Penalties and remedies</w:t>
      </w:r>
    </w:p>
    <w:p>
      <w:pPr>
        <w:jc w:val="both"/>
        <w:spacing w:before="100" w:after="0"/>
        <w:ind w:start="360"/>
        <w:ind w:firstLine="360"/>
      </w:pPr>
      <w:r>
        <w:rPr>
          <w:b/>
        </w:rPr>
        <w:t>1</w:t>
        <w:t xml:space="preserve">.  </w:t>
      </w:r>
      <w:r>
        <w:rPr>
          <w:b/>
        </w:rPr>
        <w:t xml:space="preserve">Violation of section 2616 or subchapter VII.</w:t>
        <w:t xml:space="preserve"> </w:t>
      </w:r>
      <w:r>
        <w:t xml:space="preserve"> </w:t>
      </w:r>
      <w:r>
        <w:t xml:space="preserve">A person that violates </w:t>
      </w:r>
      <w:r>
        <w:t>section 2616</w:t>
      </w:r>
      <w:r>
        <w:t xml:space="preserve"> or </w:t>
      </w:r>
      <w:r>
        <w:t>subchapter VII</w:t>
      </w:r>
      <w:r>
        <w:t xml:space="preserve"> commits a civil violation for which a penalty not to exceed $5,000 may be adjudged.  Each day of operation in violation of </w:t>
      </w:r>
      <w:r>
        <w:t>section 2616</w:t>
      </w:r>
      <w:r>
        <w:t xml:space="preserve"> or </w:t>
      </w:r>
      <w:r>
        <w:t>subchapter VII</w:t>
      </w:r>
      <w:r>
        <w:t xml:space="preserve"> constitutes a separate violation. The District Court or the Superior Court has jurisdiction over violations of </w:t>
      </w:r>
      <w:r>
        <w:t>section 2616</w:t>
      </w:r>
      <w:r>
        <w:t xml:space="preserve"> or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§13 (COR).]</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of either Kennebec County or of the county in which the principal place of business of the supplier of water is located, to convict and punish a person under </w:t>
      </w:r>
      <w:r>
        <w:t>subsection 1</w:t>
      </w:r>
      <w:r>
        <w:t xml:space="preserve">, to seek injunctive relief to prevent the violation of any rule or regulation issued pursuant to this chapter, to prevent the violation of any order issued pursuant to </w:t>
      </w:r>
      <w:r>
        <w:t>sections 2612</w:t>
      </w:r>
      <w:r>
        <w:t xml:space="preserve">, </w:t>
      </w:r>
      <w:r>
        <w:t>2613</w:t>
      </w:r>
      <w:r>
        <w:t xml:space="preserve"> or </w:t>
      </w:r>
      <w:r>
        <w:t>2614</w:t>
      </w:r>
      <w:r>
        <w:t xml:space="preserve">, or to require a public water system or supplier of water to take other action necessary to protect the public health,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Administrative remedies.</w:t>
        <w:t xml:space="preserve"> </w:t>
      </w:r>
      <w:r>
        <w:t xml:space="preserve"> </w:t>
      </w:r>
      <w:r>
        <w:t xml:space="preserve">The commissioner may seek and impose administrative remedies as provided in </w:t>
      </w:r>
      <w:r>
        <w:t>subchapter II‑A</w:t>
      </w:r>
      <w:r>
        <w:t xml:space="preserve"> for a violation of state drinking water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60 (AMD). PL 1993, c. 410, §DD3 (AMD). PL 1993, c. 678, §§2,3 (AMD). RR 1993,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§2617. Penalties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Penalties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§2617. PENALTIES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