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Any person violating any provision of this subchapter or the rules and regulations adopted under this subchapter, commits a civil violation for which a forfeiture of not more than $500 may be adjudged. Each day of operation in violation of this subchapter or any rules and regulations adopted under this subchapter shall constitute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under </w:t>
      </w:r>
      <w:r>
        <w:t>subsection 1</w:t>
      </w:r>
      <w:r>
        <w:t xml:space="preserve">, to seek injunctive relief to prevent the violation of this subchapter, to prevent the violation of any rule or regulation issued pursuant to this subchapter or to require a public water system or supplier of water to take other action necessary to comply with this subchapter,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100"/>
        <w:ind w:start="360"/>
        <w:ind w:firstLine="360"/>
      </w:pPr>
      <w:r>
        <w:rPr/>
      </w:r>
      <w:r>
        <w:rPr/>
      </w:r>
      <w:r>
        <w:t xml:space="preserve">In addition to the county in which the principal place of business of the supplier of water is located, the action may be instituted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1979, c. 178,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§2631.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