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§2660-BB. BOTTLED WATER TESTING, REPORTING AND SALE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