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2660-D</w:t>
        <w:t xml:space="preserve">.  </w:t>
      </w:r>
      <w:r>
        <w:rPr>
          <w:b/>
        </w:rPr>
        <w:t xml:space="preserve">Annual work plan on primacy</w:t>
      </w:r>
    </w:p>
    <w:p>
      <w:pPr>
        <w:jc w:val="both"/>
        <w:spacing w:before="100" w:after="100"/>
        <w:ind w:start="360"/>
        <w:ind w:firstLine="360"/>
      </w:pPr>
      <w:r>
        <w:rPr/>
      </w:r>
      <w:r>
        <w:rPr/>
      </w:r>
      <w:r>
        <w:t xml:space="preserve">Annually, by January 1st, the commissioner shall submit to the commission a work plan and budget, listing all funding sources including but not limited to appropriations from the General Fund and allocations from the United States Environmental Protection Agency that are used for the purpose of complying with federal requirements for maintaining primacy.  The work plan must include goals and objectives relating to the use of administrative remedies that are consistent with other parts of the work plan.</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§2660-D. Annual work plan on primacy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§2660-D. Annual work plan on primacy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§2660-D. ANNUAL WORK PLAN ON PRIMACY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