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No cause of action created</w:t>
      </w:r>
    </w:p>
    <w:p>
      <w:pPr>
        <w:jc w:val="both"/>
        <w:spacing w:before="100" w:after="100"/>
        <w:ind w:start="360"/>
        <w:ind w:firstLine="360"/>
      </w:pPr>
      <w:r>
        <w:rPr/>
      </w:r>
      <w:r>
        <w:rPr/>
      </w:r>
      <w:r>
        <w:t xml:space="preserve">This chapter does not create a private cause of action against a manufacturer of an investigational drug, biological product or device or against any other person or entity involved in the care of an eligible patient using the investigational drug, biological product or device for any harm done to the eligible patient resulting from the investigational drug, biological product or device if the manufacturer or other person or entity is complying in good faith with the provisions of this chapter and has exercised reasonable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§2675. No cause of action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No cause of action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§2675. NO CAUSE OF ACTION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