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2702-A</w:t>
        <w:t xml:space="preserve">.  </w:t>
      </w:r>
      <w:r>
        <w:rPr>
          <w:b/>
        </w:rPr>
        <w:t xml:space="preserve">Duties to furnish information</w:t>
      </w:r>
    </w:p>
    <w:p>
      <w:pPr>
        <w:jc w:val="both"/>
        <w:spacing w:before="100" w:after="100"/>
        <w:ind w:start="360"/>
        <w:ind w:firstLine="360"/>
      </w:pPr>
      <w:r>
        <w:rPr/>
      </w:r>
      <w:r>
        <w:rPr/>
      </w:r>
      <w:r>
        <w:t xml:space="preserve">Any person having knowledge of the facts shall furnish such information as the individual may possess regarding any birth, death, spontaneous fetal death, abortion, marriage, divorce or annulment, upon demand of the state registrar.</w:t>
      </w:r>
      <w:r>
        <w:t xml:space="preserve">  </w:t>
      </w:r>
      <w:r xmlns:wp="http://schemas.openxmlformats.org/drawingml/2010/wordprocessingDrawing" xmlns:w15="http://schemas.microsoft.com/office/word/2012/wordml">
        <w:rPr>
          <w:rFonts w:ascii="Arial" w:hAnsi="Arial" w:cs="Arial"/>
          <w:sz w:val="22"/>
          <w:szCs w:val="22"/>
        </w:rPr>
        <w:t xml:space="preserve">[PL 2009, c. 601,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268, §2 (NEW). PL 2009, c. 601,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§2702-A. Duties to furnish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§2702-A. Duties to furnish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§2702-A. DUTIES TO FURNISH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