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2702-B</w:t>
        <w:t xml:space="preserve">.  </w:t>
      </w:r>
      <w:r>
        <w:rPr>
          <w:b/>
        </w:rPr>
        <w:t xml:space="preserve">Electronic transmittal of marriage certificates</w:t>
      </w:r>
    </w:p>
    <w:p>
      <w:pPr>
        <w:jc w:val="both"/>
        <w:spacing w:before="100" w:after="100"/>
        <w:ind w:start="360"/>
        <w:ind w:firstLine="360"/>
      </w:pPr>
      <w:r>
        <w:rPr/>
      </w:r>
      <w:r>
        <w:rPr/>
      </w:r>
      <w:r>
        <w:t xml:space="preserve">The municipal clerk that issued a marriage license pursuant to </w:t>
      </w:r>
      <w:r>
        <w:t>Title 19‑A, section 652, subsection 1</w:t>
      </w:r>
      <w:r>
        <w:t xml:space="preserve"> and the clerk of the municipality where the marriage occurred may issue certified copies of the marriage certificate electronically using the statewide system for the registration of vital statistics described under </w:t>
      </w:r>
      <w:r>
        <w:t>section 2701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§2702-B. Electronic transmittal of marriage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§2702-B. Electronic transmittal of marriage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§2702-B. ELECTRONIC TRANSMITTAL OF MARRIAGE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