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2885</w:t>
        <w:t xml:space="preserve">.  </w:t>
      </w:r>
      <w:r>
        <w:rPr>
          <w:b/>
        </w:rPr>
        <w:t xml:space="preserve">Enclosed from public view; carriers to obtain receipts</w:t>
      </w:r>
    </w:p>
    <w:p>
      <w:pPr>
        <w:jc w:val="both"/>
        <w:spacing w:before="100" w:after="100"/>
        <w:ind w:start="360"/>
        <w:ind w:firstLine="360"/>
      </w:pPr>
      <w:r>
        <w:rPr/>
      </w:r>
      <w:r>
        <w:rPr/>
      </w:r>
      <w:r>
        <w:t xml:space="preserve">The board established pursuant to </w:t>
      </w:r>
      <w:r>
        <w:t>section 2882</w:t>
      </w:r>
      <w:r>
        <w:t xml:space="preserve"> may employ a carrier or carriers for the conveyance of bodies, and the bodies must be well enclosed within a suitable encasement and carefully deposited free from public observation. The carrier shall obtain receipts by name or, if the deceased is unknown, by a description for each body delivered by the carrier, and that receipt must state the source from which the body was received; the carrier shall deposit the receipts with the secretary of the board.</w:t>
      </w:r>
      <w:r>
        <w:t xml:space="preserve">  </w:t>
      </w:r>
      <w:r xmlns:wp="http://schemas.openxmlformats.org/drawingml/2010/wordprocessingDrawing" xmlns:w15="http://schemas.microsoft.com/office/word/2012/wordml">
        <w:rPr>
          <w:rFonts w:ascii="Arial" w:hAnsi="Arial" w:cs="Arial"/>
          <w:sz w:val="22"/>
          <w:szCs w:val="22"/>
        </w:rPr>
        <w:t xml:space="preserve">[RR 2021, c. 2, Pt. B, §146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§146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§2885. Enclosed from public view; carriers to obtain receipts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§2885. Enclosed from public view; carriers to obtain receipts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§2885. ENCLOSED FROM PUBLIC VIEW; CARRIERS TO OBTAIN RECEIPTS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