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3028-B</w:t>
        <w:t xml:space="preserve">.  </w:t>
      </w:r>
      <w:r>
        <w:rPr>
          <w:b/>
        </w:rPr>
        <w:t xml:space="preserve">Retention of body fragments and body fluids</w:t>
      </w:r>
    </w:p>
    <w:p>
      <w:pPr>
        <w:jc w:val="both"/>
        <w:spacing w:before="100" w:after="100"/>
        <w:ind w:start="360"/>
        <w:ind w:firstLine="360"/>
      </w:pPr>
      <w:r>
        <w:rPr/>
      </w:r>
      <w:r>
        <w:rPr/>
      </w:r>
      <w:r>
        <w:t xml:space="preserve">A medical examiner or the medical examiner's designated pathologist may retain body fragments or body fluids for evidence, further study or documentation.</w:t>
      </w:r>
      <w:r>
        <w:t xml:space="preserve">  </w:t>
      </w:r>
      <w:r xmlns:wp="http://schemas.openxmlformats.org/drawingml/2010/wordprocessingDrawing" xmlns:w15="http://schemas.microsoft.com/office/word/2012/wordml">
        <w:rPr>
          <w:rFonts w:ascii="Arial" w:hAnsi="Arial" w:cs="Arial"/>
          <w:sz w:val="22"/>
          <w:szCs w:val="22"/>
        </w:rPr>
        <w:t xml:space="preserve">[RR 2021,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RR 2021, c. 2, Pt. B, §152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§3028-B. Retention of body fragments and body fluids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§3028-B. Retention of body fragments and body fluids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§3028-B. RETENTION OF BODY FRAGMENTS AND BODY FLUIDS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