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3174-FFF</w:t>
        <w:t xml:space="preserve">.  </w:t>
      </w:r>
      <w:r>
        <w:rPr>
          <w:b/>
        </w:rPr>
        <w:t xml:space="preserve">State-funded medical program for noncitizens</w:t>
      </w:r>
    </w:p>
    <w:p>
      <w:pPr>
        <w:jc w:val="both"/>
        <w:spacing w:before="100" w:after="0"/>
        <w:ind w:start="360"/>
        <w:ind w:firstLine="360"/>
      </w:pPr>
      <w:r>
        <w:rPr>
          <w:b/>
        </w:rPr>
        <w:t>1</w:t>
        <w:t xml:space="preserve">.  </w:t>
      </w:r>
      <w:r>
        <w:rPr>
          <w:b/>
        </w:rPr>
        <w:t xml:space="preserve">Coverage provided.</w:t>
        <w:t xml:space="preserve"> </w:t>
      </w:r>
      <w:r>
        <w:t xml:space="preserve"> </w:t>
      </w:r>
      <w:r>
        <w:t xml:space="preserve">Effective July 1, 2022, a person is eligible for the same scope of medical assistance provided under </w:t>
      </w:r>
      <w:r>
        <w:t>section 3174‑G</w:t>
      </w:r>
      <w:r>
        <w:t xml:space="preserve"> if the person is a child under 21 years of age who would be eligible for assistance under the federal Medicaid program under Title XIX of the federal Social Security Act but for the person's immigration status.  In accordance with 8 United States Code, Section 1621, the State shall appropriate funds in the state budget to provide state-funded medical assistance through the MaineCare program and the children's health insurance program as defined in </w:t>
      </w:r>
      <w:r>
        <w:t>section 3174‑X, subsection 1, paragraph A</w:t>
      </w:r>
      <w:r>
        <w:t xml:space="preserve"> for noncitizen individuals who reside in the State and are ineligible for coverage due to federal restrictions relating to immigration status in the federal Medicaid program and the children's health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100"/>
        <w:ind w:start="360"/>
      </w:pPr>
      <w:r>
        <w:rPr>
          <w:b w:val="true"/>
          <w:i/>
          <w:caps w:val="true"/>
        </w:rPr>
        <w:t xml:space="preserve">Revisor's Note: </w:t>
      </w:r>
      <w:r>
        <w:t>§3174-FFF.  Palliative care reimbursement (As enacted by PL 2021, c. 438, §1 is REALLOCATED TO TITLE 22, SECTION 3174-GGG)
</w:t>
      </w:r>
    </w:p>
    <w:p>
      <w:pPr>
        <w:jc w:val="both"/>
        <w:spacing w:before="100" w:after="100"/>
        <w:ind w:start="360"/>
      </w:pPr>
      <w:r>
        <w:rPr>
          <w:b w:val="true"/>
          <w:i/>
          <w:caps w:val="true"/>
        </w:rPr>
        <w:t xml:space="preserve">Revisor's Note: </w:t>
      </w:r>
      <w:r>
        <w:t>§3174-FFF.  Ostomy equipment reimbursement (As enacted by PL 2021, c. 467, §1 is REALLOCATED TO TITLE 22, SECTION 3174-HHH)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§3174-FFF. State-funded medical program for noncitizens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§3174-FFF. State-funded medical program for noncitizens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§3174-FFF. STATE-FUNDED MEDICAL PROGRAM FOR NONCITIZENS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