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3174-OOO</w:t>
        <w:t xml:space="preserve">.  </w:t>
      </w:r>
      <w:r>
        <w:rPr>
          <w:b/>
        </w:rPr>
        <w:t xml:space="preserve">MaineCare eligibility for persons under 21 years of age</w:t>
      </w:r>
    </w:p>
    <w:p>
      <w:pPr>
        <w:jc w:val="both"/>
        <w:spacing w:before="100" w:after="100"/>
        <w:ind w:start="360"/>
      </w:pPr>
      <w:r>
        <w:rPr>
          <w:b/>
        </w:rPr>
        <w:t>(REALLOCATED FROM TITLE 22, SECTION 3174-NNN)</w:t>
      </w:r>
    </w:p>
    <w:p>
      <w:pPr>
        <w:jc w:val="both"/>
        <w:spacing w:before="100" w:after="100"/>
        <w:ind w:start="360"/>
        <w:ind w:firstLine="360"/>
      </w:pPr>
      <w:r>
        <w:rPr/>
      </w:r>
      <w:r>
        <w:rPr/>
      </w:r>
      <w:r>
        <w:t xml:space="preserve">The department may seek authority from the United States Department of Health and Human Services, Centers for Medicare and Medicaid Services using a state plan option or a waiver through the Medicaid program or the federal State Children's Health Insurance Program to reduce barriers to coverage or increase MaineCare eligibility for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597, §15 (NEW); RR 2023, c. 2,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§15 (NEW). RR 2023, c. 2,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§3174-OOO. MaineCare eligibility for persons under 21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§3174-OOO. MaineCare eligibility for persons under 21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§3174-OOO. MAINECARE ELIGIBILITY FOR PERSONS UNDER 21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