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3272</w:t>
        <w:t xml:space="preserve">.  </w:t>
      </w:r>
      <w:r>
        <w:rPr>
          <w:b/>
        </w:rPr>
        <w:t xml:space="preserve">Standard</w:t>
      </w:r>
    </w:p>
    <w:p>
      <w:pPr>
        <w:jc w:val="both"/>
        <w:spacing w:before="100" w:after="0"/>
        <w:ind w:start="360"/>
        <w:ind w:firstLine="360"/>
      </w:pPr>
      <w:r>
        <w:rPr>
          <w:b/>
        </w:rPr>
        <w:t>1</w:t>
        <w:t xml:space="preserve">.  </w:t>
      </w:r>
      <w:r>
        <w:rPr>
          <w:b/>
        </w:rPr>
        <w:t xml:space="preserve">Standard.</w:t>
        <w:t xml:space="preserve"> </w:t>
      </w:r>
      <w:r>
        <w:t xml:space="preserve"> </w:t>
      </w:r>
      <w:r>
        <w:t xml:space="preserve">The standard utilized to determine need shall be the current annual budget at the lower level of living for a retired couple as most recently determined by the United States Department of Labor, Bureau of Labor Statistics, for Portland, Maine, or budgets which are consistent with such a budget at the lower level of living, taking into account budget variances by marital status and living arrangements permited pursuant to </w:t>
      </w:r>
      <w:r>
        <w:t>Title XVI</w:t>
      </w:r>
      <w:r>
        <w:t xml:space="preserve"> and regulations promulgated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§3272. Standard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§3272. Standard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§3272. STANDARD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