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w:t>
        <w:t xml:space="preserve">.  </w:t>
      </w:r>
      <w:r>
        <w:rPr>
          <w:b/>
        </w:rPr>
        <w:t xml:space="preserve">Annual reports</w:t>
      </w:r>
    </w:p>
    <w:p>
      <w:pPr>
        <w:jc w:val="both"/>
        <w:spacing w:before="100" w:after="100"/>
        <w:ind w:start="360"/>
        <w:ind w:firstLine="360"/>
      </w:pPr>
      <w:r>
        <w:rPr/>
      </w:r>
      <w:r>
        <w:rPr/>
      </w:r>
      <w:r>
        <w:t xml:space="preserve">The department shall submit any annual and evaluation reports provided by the department to the national center under </w:t>
      </w:r>
      <w:r>
        <w:t>section 3921, subsection 1</w:t>
      </w:r>
      <w:r>
        <w:t xml:space="preserve"> to the joint standing committees of the Legislature having jurisdiction over health and human services matters and education matters, no later than December 15th of each year, beginning in 2022.  The joint standing committees are authorized to report out legislation in any legislative session.</w:t>
      </w:r>
      <w:r>
        <w:t xml:space="preserve">  </w:t>
      </w:r>
      <w:r xmlns:wp="http://schemas.openxmlformats.org/drawingml/2010/wordprocessingDrawing" xmlns:w15="http://schemas.microsoft.com/office/word/2012/wordml">
        <w:rPr>
          <w:rFonts w:ascii="Arial" w:hAnsi="Arial" w:cs="Arial"/>
          <w:sz w:val="22"/>
          <w:szCs w:val="22"/>
        </w:rPr>
        <w:t xml:space="preserve">[PL 2021,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§3923.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§3923.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