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Disclosure of tribal affiliation information</w:t>
      </w:r>
    </w:p>
    <w:p>
      <w:pPr>
        <w:jc w:val="both"/>
        <w:spacing w:before="100" w:after="100"/>
        <w:ind w:start="360"/>
        <w:ind w:firstLine="360"/>
      </w:pPr>
      <w:r>
        <w:rPr/>
      </w:r>
      <w:r>
        <w:rPr/>
      </w:r>
      <w:r>
        <w:t xml:space="preserve">Upon application by an individual who has reached 18 years of age and who was an Indian child and the subject of an adoptive placement, the District Court or Probate Court that entered the final decree shall inform the individual of the tribal affiliation, if any, of the individual's biological parents and provide any other information necessary to protect any rights of the individual arising from the individual's tribal relationship.</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§3950. DISCLOSURE OF TRIBAL AFFILIATION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