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4065</w:t>
        <w:t xml:space="preserve">.  </w:t>
      </w:r>
      <w:r>
        <w:rPr>
          <w:b/>
        </w:rPr>
        <w:t xml:space="preserve">Department's responsibility after death of committed child</w:t>
      </w:r>
    </w:p>
    <w:p>
      <w:pPr>
        <w:jc w:val="both"/>
        <w:spacing w:before="100" w:after="100"/>
        <w:ind w:start="360"/>
        <w:ind w:firstLine="360"/>
      </w:pPr>
      <w:r>
        <w:rPr/>
      </w:r>
      <w:r>
        <w:rPr/>
      </w:r>
      <w:r>
        <w:t xml:space="preserve">If a child in the custody of the department dies, the department shall arrange and pay for a decent burial for the child. If administration of the deceased child's estate is not commenced, within 60 days after the date of death, by an heir or a creditor, then the department may petition the Probate Court to appoint an administrator and settle the estate of the deceased child pursuant to </w:t>
      </w:r>
      <w:r>
        <w:t>Title 18‑C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§70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1981, c. 470, §A102 (AMD). PL 2017, c. 402, Pt. C, §70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§4065. Department's responsibility after death of committed child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§4065. Department's responsibility after death of committed child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§4065. DEPARTMENT'S RESPONSIBILITY AFTER DEATH OF COMMITTED CHILD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