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4099-F</w:t>
        <w:t xml:space="preserve">.  </w:t>
      </w:r>
      <w:r>
        <w:rPr>
          <w:b/>
        </w:rPr>
        <w:t xml:space="preserve">Data collection</w:t>
      </w:r>
    </w:p>
    <w:p>
      <w:pPr>
        <w:jc w:val="both"/>
        <w:spacing w:before="100" w:after="100"/>
        <w:ind w:start="360"/>
        <w:ind w:firstLine="360"/>
      </w:pPr>
      <w:r>
        <w:rPr/>
      </w:r>
      <w:r>
        <w:rPr/>
      </w:r>
      <w:r>
        <w:t xml:space="preserve">The department shall collect data from its licensed organizations and agencies to ensure that appropriate and high-quality services are being delivered to homeless youth, youth at risk of homelessness and runaways and shall use the data to monitor the success of the contracts and programs as well as changes in the rates of homelessness among youth in the State.</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§4099-F.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§4099-F.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§4099-F.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