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4099-P</w:t>
        <w:t xml:space="preserve">.  </w:t>
      </w:r>
      <w:r>
        <w:rPr>
          <w:b/>
        </w:rPr>
        <w:t xml:space="preserve">Rules</w:t>
      </w:r>
    </w:p>
    <w:p>
      <w:pPr>
        <w:jc w:val="both"/>
        <w:spacing w:before="100" w:after="100"/>
        <w:ind w:start="360"/>
        <w:ind w:firstLine="360"/>
      </w:pPr>
      <w:r>
        <w:rPr/>
      </w:r>
      <w:r>
        <w:rPr/>
      </w:r>
      <w:r>
        <w:t xml:space="preserve">The department may adopt rules to carry out the purposes of this subchapter. Rules adopted pursuant to this section are routine technical rules as defined by </w:t>
      </w:r>
      <w:r>
        <w:t>Title 5, chapter 375, subchapter 2‑A</w:t>
      </w:r>
      <w:r>
        <w:t xml:space="preserve">.  Rules may include but are not limited to establishing the factors that support unsubstantiated, indicated and substantiated findings.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§4099-P.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§4099-P.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§4099-P.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