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Commissioner's report</w:t>
      </w:r>
    </w:p>
    <w:p>
      <w:pPr>
        <w:jc w:val="both"/>
        <w:spacing w:before="100" w:after="100"/>
        <w:ind w:start="360"/>
        <w:ind w:firstLine="360"/>
      </w:pPr>
      <w:r>
        <w:rPr/>
      </w:r>
      <w:r>
        <w:rPr/>
      </w:r>
      <w:r>
        <w:t xml:space="preserve">The commissioner, as soon as practicable after the close of the fiscal year that is indicated by an even number, shall report to the Governor the activities of the department during the biennial period just ended with such suggestions as to legislative action as the commissioner considers necessary or important.</w:t>
      </w:r>
      <w:r>
        <w:t xml:space="preserve">  </w:t>
      </w:r>
      <w:r xmlns:wp="http://schemas.openxmlformats.org/drawingml/2010/wordprocessingDrawing" xmlns:w15="http://schemas.microsoft.com/office/word/2012/wordml">
        <w:rPr>
          <w:rFonts w:ascii="Arial" w:hAnsi="Arial" w:cs="Arial"/>
          <w:sz w:val="22"/>
          <w:szCs w:val="22"/>
        </w:rPr>
        <w:t xml:space="preserve">[RR 2021,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§211 (AMD). RR 2021, c. 2, Pt. B,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