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4243</w:t>
        <w:t xml:space="preserve">.  </w:t>
      </w:r>
      <w:r>
        <w:rPr>
          <w:b/>
        </w:rPr>
        <w:t xml:space="preserve">Appropriate public authorities</w:t>
      </w:r>
    </w:p>
    <w:p>
      <w:pPr>
        <w:jc w:val="both"/>
        <w:spacing w:before="100" w:after="100"/>
        <w:ind w:start="360"/>
        <w:ind w:firstLine="360"/>
      </w:pPr>
      <w:r>
        <w:rPr/>
      </w:r>
      <w:r>
        <w:rPr/>
      </w:r>
      <w:r>
        <w:t xml:space="preserve">The "appropriate public authorities" as used in </w:t>
      </w:r>
      <w:r>
        <w:t>Article III</w:t>
      </w:r>
      <w:r>
        <w:t xml:space="preserve"> of the Interstate Compact on the Placement of Children shall, with reference to this State, mean the Department of Health and Human Services and said department shall receive and act with reference to notices required by said </w:t>
      </w:r>
      <w:r>
        <w:t>Article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§4243. Appropriate public authorities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§4243. Appropriate public authorities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§4243. APPROPRIATE PUBLIC AUTHORITIES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