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Use of potential resources</w:t>
      </w:r>
    </w:p>
    <w:p>
      <w:pPr>
        <w:jc w:val="both"/>
        <w:spacing w:before="100" w:after="100"/>
        <w:ind w:start="360"/>
        <w:ind w:firstLine="360"/>
      </w:pPr>
      <w:r>
        <w:rPr/>
      </w:r>
      <w:r>
        <w:rPr/>
      </w:r>
      <w:r>
        <w:t xml:space="preserve">An applicant or recipient must make a good faith effort to secure any potential resource that may be available, including, but not limited to, any state or federal assistance program, employment benefits, governmental or private pension programs, available trust funds, support from legally liable relatives, child-support payments and jointly held resources where the applicant or recipient share may be available to the individual. Assistance may not be withheld pending receipt of such resource as long as application has been made or good faith effort is being made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individual applying for or receiving assistance due to a disability must make a good faith effort to make use of any medical and rehabilitative resources that may be recommended by a physician, psychologist or other professional retraining or rehabilitation specialist that are available without financial burden and would not constitute further physical risk to the individual.</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refuses to utilize potential resources without just cause, after receiving a written 7-day notice, is disqualified from receiving assistance until the applicant has made a good faith effort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forfeits receipt of or causes reduction in benefits from another public assistance program because of fraud, misrepresentation or a knowing or intentional violation of program rules or a refusal to comply with program rules without just cause is not eligible to receive general assistance to replace the forfeited assistance for the duration of the forfeiture.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is found to be ineligible for unemployment compensation benefits because of a finding of fraud by the Department of Labor pursuant to </w:t>
      </w:r>
      <w:r>
        <w:t>Title 26, section 1051, subsection 1</w:t>
      </w:r>
      <w:r>
        <w:t xml:space="preserve"> is ineligible to receive general assistance to replace the forfeited unemployment compensation benefits for the duration of the forfeiture established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2013, c. 368, Pt. OO,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1993, c. 410, §AAA11 (AMD). PL 2013, c. 368, Pt. OO,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 Use of potential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Use of potential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§4317. USE OF POTENTIAL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