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Local board of health</w:t>
      </w:r>
    </w:p>
    <w:p>
      <w:pPr>
        <w:jc w:val="both"/>
        <w:spacing w:before="100" w:after="100"/>
        <w:ind w:start="360"/>
        <w:ind w:firstLine="360"/>
      </w:pPr>
      <w:r>
        <w:rPr/>
      </w:r>
      <w:r>
        <w:rPr/>
      </w:r>
      <w:r>
        <w:t xml:space="preserve">Any municipality may appoint, in addition to the local health officer, a board of health consisting of 3 members besides the local health officer, one of whom shall be a physician if available in the community, and one a woman. When first appointed members of the board shall be appointed one for one year, one for 2 years and one for 3 years. Subsequent appointments shall be for 3-year terms.</w:t>
      </w:r>
    </w:p>
    <w:p>
      <w:pPr>
        <w:jc w:val="both"/>
        <w:spacing w:before="100" w:after="100"/>
        <w:ind w:start="360"/>
        <w:ind w:firstLine="360"/>
      </w:pPr>
      <w:r>
        <w:rPr/>
      </w:r>
      <w:r>
        <w:rPr/>
      </w:r>
      <w:r>
        <w:t xml:space="preserve">The local health officer shall be secretary ex officio of said board and keep a record of all proceedings. The local board of health shall constitute an advisory body to the local health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§453. LOCAL BOARD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