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Exemption to written informed consent requirement for mental health services and substance use disorder treatment during public health emergency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“Licensed facility” means a facility licensed under </w:t>
      </w:r>
      <w:r>
        <w:t>Title 5, section 20005, subsection 6, paragraph B</w:t>
      </w:r>
      <w:r>
        <w:t xml:space="preserve"> or </w:t>
      </w:r>
      <w:r>
        <w:t>Title 34‑B, section 1203‑A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w:pPr>
        <w:jc w:val="both"/>
        <w:spacing w:before="100" w:after="0"/>
        <w:ind w:start="720"/>
      </w:pPr>
      <w:r>
        <w:rPr/>
        <w:t>B</w:t>
        <w:t xml:space="preserve">.  </w:t>
      </w:r>
      <w:r>
        <w:rPr/>
      </w:r>
      <w:r>
        <w:t xml:space="preserve">“Public health emergency” means a federal public health emergency declared pursuant to 42 United States Code, Section 247d or a state public health emergency declared pursuant to </w:t>
      </w:r>
      <w:r>
        <w:t>section 802</w:t>
      </w:r>
      <w:r>
        <w:t xml:space="preserve"> or </w:t>
      </w:r>
      <w:r>
        <w:t>Title 37‑B, chapter 13,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2</w:t>
        <w:t xml:space="preserve">.  </w:t>
      </w:r>
      <w:r>
        <w:rPr>
          <w:b/>
        </w:rPr>
        <w:t xml:space="preserve">Informed consent.</w:t>
        <w:t xml:space="preserve"> </w:t>
      </w:r>
      <w:r>
        <w:t xml:space="preserve"> </w:t>
      </w:r>
      <w:r>
        <w:t xml:space="preserve">The department may not require a licensed facility to obtain written informed consent from a person receiving mental health services or substance use disorder treatment from the licensed facility during a public health emergency.  A licensed facility shall obtain consent from a person receiving mental health services or substance use disorder treatment during a public health emergency; such consent may be obtained through verbal, electronic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3</w:t>
        <w:t xml:space="preserve">.  </w:t>
      </w:r>
      <w:r>
        <w:rPr>
          <w:b/>
        </w:rPr>
        <w:t xml:space="preserve">Rulemaking. The department shall adopt rules to implement this section.</w:t>
        <w:t xml:space="preserve"> </w:t>
      </w:r>
      <w:r>
        <w:t xml:space="preserve"> </w:t>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Exemption to written informed consent requirement for mental health services and substance use disorder treatment during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Exemption to written informed consent requirement for mental health services and substance use disorder treatment during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 EXEMPTION TO WRITTEN INFORMED CONSENT REQUIREMENT FOR MENTAL HEALTH SERVICES AND SUBSTANCE USE DISORDER TREATMENT DURING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