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5407</w:t>
        <w:t xml:space="preserve">.  </w:t>
      </w:r>
      <w:r>
        <w:rPr>
          <w:b/>
        </w:rPr>
        <w:t xml:space="preserve">Rulemaking</w:t>
      </w:r>
    </w:p>
    <w:p>
      <w:pPr>
        <w:jc w:val="both"/>
        <w:spacing w:before="100" w:after="100"/>
        <w:ind w:start="360"/>
        <w:ind w:firstLine="360"/>
      </w:pPr>
      <w:r>
        <w:rPr/>
      </w:r>
      <w:r>
        <w:rPr/>
      </w:r>
      <w:r>
        <w:t xml:space="preserve">The commissioner may adopt rules as necessary for the proper administration and enforcement of this chapter.  Rules adopted pursuant to this section are routine technical rules as defined in Title 5, chapter 375, subchapter 2-A. Rules adopted pursuant to this section must be consistent with the federal Affordable Care Act and state law.</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