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Review of oversight activities and funding;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§670. REVIEW OF OVERSIGHT ACTIVITIES AND FUNDING;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