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7247</w:t>
        <w:t xml:space="preserve">.  </w:t>
      </w:r>
      <w:r>
        <w:rPr>
          <w:b/>
        </w:rPr>
        <w:t xml:space="preserve">Controlled Substances Prescription Monitoring Program Fund</w:t>
      </w:r>
    </w:p>
    <w:p>
      <w:pPr>
        <w:jc w:val="both"/>
        <w:spacing w:before="100" w:after="100"/>
        <w:ind w:start="360"/>
        <w:ind w:firstLine="360"/>
      </w:pPr>
      <w:r>
        <w:rPr/>
      </w:r>
      <w:r>
        <w:rPr/>
      </w:r>
      <w:r>
        <w:t xml:space="preserve">The Controlled Substances Prescription Monitoring Program Fund is established within the department to be used by the commissioner to fund or assist in funding the program.  Any balance in the fund does not lapse but is carried forward to be expended for the same purposes in succeeding fiscal years.  The fund must be deposited with and maintained and administered by the department.  The commissioner may accept funds into the fund from any source, public or private, including grants or contributions of money or other things of value, that the commissioner determines necessary to carry out the purposes of this chapter.  Money received by the department to establish and maintain the program must be used for the expenses of administering this chapter.</w:t>
      </w:r>
      <w:r>
        <w:t xml:space="preserve">  </w:t>
      </w:r>
      <w:r xmlns:wp="http://schemas.openxmlformats.org/drawingml/2010/wordprocessingDrawing" xmlns:w15="http://schemas.microsoft.com/office/word/2012/wordml">
        <w:rPr>
          <w:rFonts w:ascii="Arial" w:hAnsi="Arial" w:cs="Arial"/>
          <w:sz w:val="22"/>
          <w:szCs w:val="22"/>
        </w:rPr>
        <w:t xml:space="preserve">[PL 2011, c. 657, Pt. AA,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PL 2011, c. 380, Pt. WW, §1 (AMD). PL 2011, c. 657, Pt. AA, §66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§7247. Controlled Substances Prescription Monitoring Program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§7247. Controlled Substances Prescription Monitoring Program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§7247. CONTROLLED SUBSTANCES PRESCRIPTION MONITORING PROGRAM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