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Respite Care Fund</w:t>
      </w:r>
    </w:p>
    <w:p>
      <w:pPr>
        <w:jc w:val="both"/>
        <w:spacing w:before="100" w:after="100"/>
        <w:ind w:start="360"/>
        <w:ind w:firstLine="360"/>
      </w:pPr>
      <w:r>
        <w:rPr/>
      </w:r>
      <w:r>
        <w:rPr/>
      </w:r>
      <w:r>
        <w:t xml:space="preserve">The department shall administer the Respite Care Fund for the purpose of providing short-term respite care for persons with Alzheimer's disease and other dementias.  This respite care may include short-term in-home care, nursing or residential care facility stays, hospital or adult day care or home modifications.  The department also may use the fund to carry out the purposes of the National Family Caregiver Support Program.</w:t>
      </w:r>
      <w:r>
        <w:t xml:space="preserve">  </w:t>
      </w:r>
      <w:r xmlns:wp="http://schemas.openxmlformats.org/drawingml/2010/wordprocessingDrawing" xmlns:w15="http://schemas.microsoft.com/office/word/2012/wordml">
        <w:rPr>
          <w:rFonts w:ascii="Arial" w:hAnsi="Arial" w:cs="Arial"/>
          <w:sz w:val="22"/>
          <w:szCs w:val="22"/>
        </w:rPr>
        <w:t xml:space="preserve">[PL 2001, c. 487,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§E42 (NEW). PL 2001, c. 487,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§7308. Respite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Respite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§7308. RESPITE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