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7925</w:t>
        <w:t xml:space="preserve">.  </w:t>
      </w:r>
      <w:r>
        <w:rPr>
          <w:b/>
        </w:rPr>
        <w:t xml:space="preserve">Discharges and transfers</w:t>
      </w:r>
    </w:p>
    <w:p>
      <w:pPr>
        <w:jc w:val="both"/>
        <w:spacing w:before="100" w:after="100"/>
        <w:ind w:start="360"/>
        <w:ind w:firstLine="360"/>
      </w:pPr>
      <w:r>
        <w:rPr/>
      </w:r>
      <w:r>
        <w:rPr/>
      </w:r>
      <w:r>
        <w:t xml:space="preserve">Long-term care facilities which receive public funds may not discharge or transfer any person solely based on a change in their source of payment.</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§7925. Discharges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§7925. Discharges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§7925. DISCHARGES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