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Inspection</w:t>
      </w:r>
    </w:p>
    <w:p>
      <w:pPr>
        <w:jc w:val="both"/>
        <w:spacing w:before="100" w:after="100"/>
        <w:ind w:start="360"/>
        <w:ind w:firstLine="360"/>
      </w:pPr>
      <w:r>
        <w:rPr/>
      </w:r>
      <w:r>
        <w:rPr/>
      </w:r>
      <w:r>
        <w:t xml:space="preserve">If the department has reasonable grounds to believe that there exists a public health threat, either on public or private property, a duly authorized agent of the department may enter any place, building, vessel, aircraft or common carrier with the permission of the owner, agent or occupant where the public health threat is reasonably believed to exist and may inspect and examine the same.  If entry is refused, that agent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2005, c. 383,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