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Discharge</w:t>
      </w:r>
    </w:p>
    <w:p>
      <w:pPr>
        <w:jc w:val="both"/>
        <w:spacing w:before="100" w:after="100"/>
        <w:ind w:start="360"/>
        <w:ind w:firstLine="360"/>
      </w:pPr>
      <w:r>
        <w:rPr/>
      </w:r>
      <w:r>
        <w:rPr/>
      </w:r>
      <w:r>
        <w:t xml:space="preserve">An individual committed to a hospital, facility or private home pursuant to </w:t>
      </w:r>
      <w:r>
        <w:t>section 812</w:t>
      </w:r>
      <w:r>
        <w:t xml:space="preserve"> or </w:t>
      </w:r>
      <w:r>
        <w:t>section 813</w:t>
      </w:r>
      <w:r>
        <w:t xml:space="preserve"> or subject to a prescribed care order of the department or a court pursuant to </w:t>
      </w:r>
      <w:r>
        <w:t>section 820</w:t>
      </w:r>
      <w:r>
        <w:t xml:space="preserve"> may be discharged when the physician responsible for that individual's treatment and the department determine that the individual may be discharged without danger to other individuals.  The department shall immediately report the discharge, with a full statement of the reasons for the discharge, to the court that ordered the commitment.</w:t>
      </w:r>
      <w:r>
        <w:t xml:space="preserve">  </w:t>
      </w:r>
      <w:r xmlns:wp="http://schemas.openxmlformats.org/drawingml/2010/wordprocessingDrawing" xmlns:w15="http://schemas.microsoft.com/office/word/2012/wordml">
        <w:rPr>
          <w:rFonts w:ascii="Arial" w:hAnsi="Arial" w:cs="Arial"/>
          <w:sz w:val="22"/>
          <w:szCs w:val="22"/>
        </w:rPr>
        <w:t xml:space="preserve">[PL 2007, c. 359, §1 (AMD).]</w:t>
      </w:r>
    </w:p>
    <w:p>
      <w:pPr>
        <w:jc w:val="both"/>
        <w:spacing w:before="100" w:after="100"/>
        <w:ind w:start="360"/>
        <w:ind w:firstLine="360"/>
      </w:pPr>
      <w:r>
        <w:rPr/>
      </w:r>
      <w:r>
        <w:rPr/>
      </w:r>
      <w:r>
        <w:t xml:space="preserve">If an individual committed to a hospital, facility or private home pursuant to </w:t>
      </w:r>
      <w:r>
        <w:t>section 812</w:t>
      </w:r>
      <w:r>
        <w:t xml:space="preserve"> or </w:t>
      </w:r>
      <w:r>
        <w:t>section 813</w:t>
      </w:r>
      <w:r>
        <w:t xml:space="preserve"> or subject to a prescribed care order of the department or a court pursuant to </w:t>
      </w:r>
      <w:r>
        <w:t>section 820</w:t>
      </w:r>
      <w:r>
        <w:t xml:space="preserve"> violates the commitment prior to discharge in accordance with this section, the hospital or physician responsible for treatment shall immediately report this to the department.  An arrest warrant must be issued upon application by the department to the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359,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§14 (AMD). PL 2007, c. 359,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§817.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§817.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