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8753-A</w:t>
        <w:t xml:space="preserve">.  </w:t>
      </w:r>
      <w:r>
        <w:rPr>
          <w:b/>
        </w:rPr>
        <w:t xml:space="preserve">Standardized procedure</w:t>
      </w:r>
    </w:p>
    <w:p>
      <w:pPr>
        <w:jc w:val="both"/>
        <w:spacing w:before="100" w:after="100"/>
        <w:ind w:start="360"/>
        <w:ind w:firstLine="360"/>
      </w:pPr>
      <w:r>
        <w:rPr/>
      </w:r>
      <w:r>
        <w:rPr/>
      </w:r>
      <w:r>
        <w:t xml:space="preserve">A health care facility shall have a written standardized procedure for the identification of sentinel events. The division shall develop the standardized reporting and notification procedures by adoption of routine technical rules under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§8753-A. Standardized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§8753-A. Standardized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§8753-A. STANDARDIZED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