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Appeal by employer</w:t>
      </w:r>
    </w:p>
    <w:p>
      <w:pPr>
        <w:jc w:val="both"/>
        <w:spacing w:before="100" w:after="100"/>
        <w:ind w:start="360"/>
        <w:ind w:firstLine="360"/>
      </w:pPr>
      <w:r>
        <w:rPr/>
      </w:r>
      <w:r>
        <w:rPr/>
      </w:r>
      <w:r>
        <w:t xml:space="preserve">The imposition of sanctions, other than licensing sanctions, pursuant to this chapter may be appealed by an employer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§9064. Appeal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Appeal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§9064. APPEAL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