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SAFETY PROVISIONS</w:t>
      </w:r>
    </w:p>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7015</w:t>
        <w:t xml:space="preserve">.  </w:t>
      </w:r>
      <w:r>
        <w:rPr>
          <w:b/>
        </w:rPr>
        <w:t xml:space="preserve">Prevention and response plans and environmental impact analysis</w:t>
      </w:r>
    </w:p>
    <w:p>
      <w:pPr>
        <w:jc w:val="both"/>
        <w:spacing w:before="100" w:after="100"/>
        <w:ind w:start="360"/>
        <w:ind w:firstLine="360"/>
      </w:pPr>
      <w:r>
        <w:rPr/>
      </w:r>
      <w:r>
        <w:rPr/>
      </w:r>
      <w:r>
        <w:t xml:space="preserve">Within 180 days of the effective date of this section, a railroad company shall submit to the Commissioner of Environmental Protection a prevention and response plan including the environmental impact analysis submitted to the United States Department of Transportation, Pipeline and Hazardous Materials Safety Administration. The railroad company shall also provide any updates submitted to the Pipeline and Hazardous Materials Safety Administration to the Commissioner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611.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