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PASSENGER RAIL SERVICE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Northern New England Passenger Rail Authority and any successors to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100"/>
        <w:ind w:start="360"/>
        <w:ind w:firstLine="360"/>
      </w:pPr>
      <w:r>
        <w:rPr>
          <w:b/>
        </w:rPr>
        <w:t>2</w:t>
        <w:t xml:space="preserve">.  </w:t>
      </w:r>
      <w:r>
        <w:rPr>
          <w:b/>
        </w:rPr>
        <w:t xml:space="preserve">Government agency.</w:t>
        <w:t xml:space="preserve"> </w:t>
      </w:r>
      <w:r>
        <w:t xml:space="preserve"> </w:t>
      </w:r>
      <w:r>
        <w:t xml:space="preserve">"Government agency" includes any department, agency, commission, bureau, authority, instrumentality and political subdivision of:</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C</w:t>
        <w:t xml:space="preserve">.  </w:t>
      </w:r>
      <w:r>
        <w:rPr/>
      </w:r>
      <w:r>
        <w:t xml:space="preserve">Any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720"/>
      </w:pPr>
      <w:r>
        <w:rPr/>
        <w:t>D</w:t>
        <w:t xml:space="preserve">.  </w:t>
      </w:r>
      <w:r>
        <w:rPr/>
      </w:r>
      <w:r>
        <w:t xml:space="preserve">Canada and any of its provinces.</w:t>
      </w:r>
      <w:r>
        <w:t xml:space="preserve">  </w:t>
      </w:r>
      <w:r xmlns:wp="http://schemas.openxmlformats.org/drawingml/2010/wordprocessingDrawing" xmlns:w15="http://schemas.microsoft.com/office/word/2012/wordml">
        <w:rPr>
          <w:rFonts w:ascii="Arial" w:hAnsi="Arial" w:cs="Arial"/>
          <w:sz w:val="22"/>
          <w:szCs w:val="22"/>
        </w:rPr>
        <w:t xml:space="preserve">[PL 2005, c. 312,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§1 (AMD).]</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or "lines" means the right-of-way, track, track appurtenances, ties, bridges, station houses and other appurtenant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§1 (AMD). </w:t>
      </w:r>
    </w:p>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§2 (AMD). PL 2005, c. 312, §3 (RP). </w:t>
      </w:r>
    </w:p>
    <w:p>
      <w:pPr>
        <w:jc w:val="both"/>
        <w:spacing w:before="100" w:after="100"/>
        <w:ind w:start="1080" w:hanging="720"/>
      </w:pPr>
      <w:r>
        <w:rPr>
          <w:b/>
        </w:rPr>
        <w:t>§</w:t>
        <w:t>8006</w:t>
        <w:t xml:space="preserve">.  </w:t>
      </w:r>
      <w:r>
        <w:rPr>
          <w:b/>
        </w:rPr>
        <w:t xml:space="preserve">Funding</w:t>
      </w:r>
    </w:p>
    <w:p>
      <w:pPr>
        <w:jc w:val="both"/>
        <w:spacing w:before="100" w:after="100"/>
        <w:ind w:start="360"/>
        <w:ind w:firstLine="360"/>
      </w:pPr>
      <w:r>
        <w:rPr/>
      </w:r>
      <w:r>
        <w:rPr/>
      </w:r>
      <w:r>
        <w:t xml:space="preserve">The authority is directed to use any revenues it receives from the operation of the passenger rail service established pursuant to this chapter to pay the operational expenses of that passenger rail service.  The authority is directed to seek and use funds necessary to pay all operational expenses of this passenger rail service that are not met by fares and other funds or revenues.  For the purposes of this section, "operational expenses" include, but are not limited to, all additional capital expenses necessary to maintain the passenger rail service.</w:t>
      </w:r>
      <w:r>
        <w:t xml:space="preserve">  </w:t>
      </w:r>
      <w:r xmlns:wp="http://schemas.openxmlformats.org/drawingml/2010/wordprocessingDrawing" xmlns:w15="http://schemas.microsoft.com/office/word/2012/wordml">
        <w:rPr>
          <w:rFonts w:ascii="Arial" w:hAnsi="Arial" w:cs="Arial"/>
          <w:sz w:val="22"/>
          <w:szCs w:val="22"/>
        </w:rPr>
        <w:t xml:space="preserve">[PL 2005, c. 312,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§4 (AMD). </w:t>
      </w:r>
    </w:p>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8009</w:t>
        <w:t xml:space="preserve">.  </w:t>
      </w:r>
      <w:r>
        <w:rPr>
          <w:b/>
        </w:rPr>
        <w:t xml:space="preserve">Reasonable fares</w:t>
      </w:r>
    </w:p>
    <w:p>
      <w:pPr>
        <w:jc w:val="both"/>
        <w:spacing w:before="100" w:after="100"/>
        <w:ind w:start="360"/>
        <w:ind w:firstLine="360"/>
      </w:pPr>
      <w:r>
        <w:rPr/>
      </w:r>
      <w:r>
        <w:rPr/>
      </w:r>
      <w:r>
        <w:t xml:space="preserve">Fares for the passenger rail service established pursuant to this chapter must be set at reasonable levels to encourage use of this service.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8011</w:t>
        <w:t xml:space="preserve">.  </w:t>
      </w:r>
      <w:r>
        <w:rPr>
          <w:b/>
        </w:rPr>
        <w:t xml:space="preserve">Rules of construction</w:t>
      </w:r>
    </w:p>
    <w:p>
      <w:pPr>
        <w:jc w:val="both"/>
        <w:spacing w:before="100" w:after="100"/>
        <w:ind w:start="360"/>
        <w:ind w:firstLine="360"/>
      </w:pPr>
      <w:r>
        <w:rPr/>
      </w:r>
      <w:r>
        <w:rPr/>
      </w:r>
      <w:r>
        <w:t xml:space="preserve">This chapter must be construed liberally to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§5 (AMD). </w:t>
      </w:r>
    </w:p>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jc w:val="center"/>
        <w:ind w:start="360"/>
        <w:spacing w:before="300" w:after="300"/>
      </w:pPr>
      <w:r>
        <w:rPr>
          <w:b/>
        </w:rPr>
        <w:t>SUBCHAPTER</w:t>
        <w:t xml:space="preserve"> </w:t>
        <w:t>2</w:t>
      </w:r>
    </w:p>
    <w:p>
      <w:pPr>
        <w:jc w:val="center"/>
        <w:ind w:start="360"/>
        <w:spacing w:before="300" w:after="300"/>
      </w:pPr>
      <w:r>
        <w:rPr>
          <w:b/>
        </w:rPr>
        <w:t xml:space="preserve">NORTHERN NEW ENGLAND PASSENGER RAIL AUTHORITY</w:t>
      </w:r>
    </w:p>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jc w:val="both"/>
        <w:spacing w:before="100" w:after="100"/>
        <w:ind w:start="1080" w:hanging="720"/>
      </w:pPr>
      <w:r>
        <w:rPr>
          <w:b/>
        </w:rPr>
        <w:t>§</w:t>
        <w:t>8113</w:t>
        <w:t xml:space="preserve">.  </w:t>
      </w:r>
      <w:r>
        <w:rPr>
          <w:b/>
        </w:rPr>
        <w:t xml:space="preserve">Conflict of interest</w:t>
      </w:r>
    </w:p>
    <w:p>
      <w:pPr>
        <w:jc w:val="both"/>
        <w:spacing w:before="100" w:after="100"/>
        <w:ind w:start="360"/>
        <w:ind w:firstLine="360"/>
      </w:pPr>
      <w:r>
        <w:rPr/>
      </w:r>
      <w:r>
        <w:rPr/>
      </w:r>
      <w:r>
        <w:t xml:space="preserve">A director, officer or employee of the authority may not acquire any interest, direct or indirect, in any contract or proposed contract of the authority.  A director, officer or employee may not participate in any decision on any contract entered into by the authority if that individual has any interest, direct or indirect, in any firm, partnership, corporation or association that will be party to such a contract or financially involved in any transaction with the authority; except this prohibition does not apply to the execution of agreements by banking institutions for the deposit or handling of authority funds in connection with any contract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jc w:val="both"/>
        <w:spacing w:before="100" w:after="100"/>
        <w:ind w:start="1080" w:hanging="720"/>
      </w:pPr>
      <w:r>
        <w:rPr>
          <w:b/>
        </w:rPr>
        <w:t>§</w:t>
        <w:t>8115-A</w:t>
        <w:t xml:space="preserve">.  </w:t>
      </w:r>
      <w:r>
        <w:rPr>
          <w:b/>
        </w:rPr>
        <w:t xml:space="preserve">Authority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of the authority are confidential:</w:t>
      </w:r>
    </w:p>
    <w:p>
      <w:pPr>
        <w:jc w:val="both"/>
        <w:spacing w:before="100" w:after="0"/>
        <w:ind w:start="720"/>
      </w:pPr>
      <w:r>
        <w:rPr/>
        <w:t>A</w:t>
        <w:t xml:space="preserve">.  </w:t>
      </w:r>
      <w:r>
        <w:rPr/>
      </w:r>
      <w:r>
        <w:t xml:space="preserve">Records and correspondence relating to negotiations of agreements to which the authority is a party or in which the authority has a financial or other interest.  Once entered into, an agreement is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B</w:t>
        <w:t xml:space="preserve">.  </w:t>
      </w:r>
      <w:r>
        <w:rPr/>
      </w:r>
      <w:r>
        <w:t xml:space="preserve">Trade secrets;</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C</w:t>
        <w:t xml:space="preserve">.  </w:t>
      </w:r>
      <w:r>
        <w:rPr/>
      </w:r>
      <w:r>
        <w:t xml:space="preserve">Estimates prepared by or at the direction of the authority of the costs of goods or services to be procured by or at the expense of the authority; and</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w:pPr>
        <w:jc w:val="both"/>
        <w:spacing w:before="100" w:after="0"/>
        <w:ind w:start="720"/>
      </w:pPr>
      <w:r>
        <w:rPr/>
        <w:t>D</w:t>
        <w:t xml:space="preserve">.  </w:t>
      </w:r>
      <w:r>
        <w:rPr/>
      </w:r>
      <w:r>
        <w:t xml:space="preserve">Any documents or records solicited or prepared in connection with employment applications, except that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w:pPr>
        <w:jc w:val="both"/>
        <w:spacing w:before="100" w:after="0"/>
        <w:ind w:start="360"/>
        <w:ind w:firstLine="360"/>
      </w:pPr>
      <w:r>
        <w:rPr>
          <w:b/>
        </w:rPr>
        <w:t>2</w:t>
        <w:t xml:space="preserve">.  </w:t>
      </w:r>
      <w:r>
        <w:rPr>
          <w:b/>
        </w:rPr>
        <w:t xml:space="preserve">Lawyer-client privilege.</w:t>
        <w:t xml:space="preserve"> </w:t>
      </w:r>
      <w:r>
        <w:t xml:space="preserve"> </w:t>
      </w:r>
      <w:r>
        <w:t xml:space="preserve">The authority may claim the lawyer-client privilege in the same manner and circumstances as a corporation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§7 (NEW). </w:t>
      </w:r>
    </w:p>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621.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