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Preservation of existing monuments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Preservation of existing monuments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§1114. PRESERVATION OF EXISTING MONUMENTS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