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Negotiation</w:t>
      </w:r>
    </w:p>
    <w:p>
      <w:pPr>
        <w:jc w:val="both"/>
        <w:spacing w:before="100" w:after="100"/>
        <w:ind w:start="360"/>
        <w:ind w:firstLine="360"/>
      </w:pPr>
      <w:r>
        <w:rPr/>
      </w:r>
      <w:r>
        <w:rPr/>
      </w:r>
      <w:r>
        <w:t xml:space="preserve">The department shall have 60 days from the date of taking within which to negotiate with the owner or owners of record for an agreement as to the amount of just compensation. If within that time the owner rejects the State's offer of just compensation, such owner may apply to the department and have the matter referred to the State Claims Commission for assessment of the damage. If, at the expiration of that time, no such agreement for just compensation has been made, the department shall immediately file a petition with the State Claims Commission setting forth the pertinent facts including the names and addresses of the owner or owners of record and the holders of any mortgages, tax liens or other encumbrances, a copy of the notice of condemnation, the statement of the department and a plan of the property involved as served upon the owner or owners of record in accordance with </w:t>
      </w:r>
      <w:r>
        <w:t>section 154</w:t>
      </w:r>
      <w:r>
        <w:t xml:space="preserve"> and requesting a hearing and an award of just compensation.</w:t>
      </w:r>
      <w:r>
        <w:t xml:space="preserve">  </w:t>
      </w:r>
      <w:r xmlns:wp="http://schemas.openxmlformats.org/drawingml/2010/wordprocessingDrawing" xmlns:w15="http://schemas.microsoft.com/office/word/2012/wordml">
        <w:rPr>
          <w:rFonts w:ascii="Arial" w:hAnsi="Arial" w:cs="Arial"/>
          <w:sz w:val="22"/>
          <w:szCs w:val="22"/>
        </w:rPr>
        <w:t xml:space="preserve">[PL 1987, c. 395, Pt. A,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§5 (AMD). PL 1975, c. 771, §239 (AMD). PL 1987, c. 395, §A97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 Negotiation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Negotiation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§155. NEGOTIATION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