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Bond proceeds not for compact parts of town; exception</w:t>
      </w:r>
    </w:p>
    <w:p>
      <w:pPr>
        <w:jc w:val="both"/>
        <w:spacing w:before="100" w:after="100"/>
        <w:ind w:start="360"/>
        <w:ind w:firstLine="360"/>
      </w:pPr>
      <w:r>
        <w:rPr/>
      </w:r>
      <w:r>
        <w:rPr/>
      </w:r>
      <w:r>
        <w:t xml:space="preserve">No funds for construction derived from any bond issue shall be expended on any highway within compact portions of any town, except in towns of less than 5,000 inhabitants, such compact portions to be determined by the department. This section shall not apply when funds derived from any bond issue are used to match federal funds for highway and bridge projects constructed within such compact sections.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Bond proceeds not for compact parts of town;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Bond proceeds not for compact parts of town;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§1603. BOND PROCEEDS NOT FOR COMPACT PARTS OF TOWN;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