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§1618. EXCEPTION TO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