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1965-C</w:t>
        <w:t xml:space="preserve">.  </w:t>
      </w:r>
      <w:r>
        <w:rPr>
          <w:b/>
        </w:rPr>
        <w:t xml:space="preserve">Construction of a connector to Gorham</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and the department shall evaluate reasonable alternatives to the building of a connector to Gorham in Cumberland County from Route 114 in South Gorham to an interchange on the turnpike by completing an alternative mode feasibility study.</w:t>
      </w:r>
    </w:p>
    <w:p>
      <w:pPr>
        <w:jc w:val="both"/>
        <w:spacing w:before="100" w:after="0"/>
        <w:ind w:start="360"/>
      </w:pPr>
      <w:r>
        <w:rPr/>
      </w:r>
      <w:r>
        <w:rPr/>
      </w:r>
      <w:r>
        <w:t xml:space="preserve">The authority in cooperation with the department shall update the evaluations with public participation to satisfy the requirements of </w:t>
      </w:r>
      <w:r>
        <w:t>section 73</w:t>
      </w:r>
      <w:r>
        <w:t xml:space="preserve"> and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and update required under </w:t>
      </w:r>
      <w:r>
        <w:t>subsection 1</w:t>
      </w:r>
      <w:r>
        <w:t xml:space="preserve">, the authority shall determine whether the alternatives are sufficient to meet long-term regional transportation needs, to correct deficiencies and to fulfill mobility requirements of the region safely and at reasonable cost, using available technology.  If the authority finds that the alternatives are not sufficient:</w:t>
      </w:r>
    </w:p>
    <w:p>
      <w:pPr>
        <w:jc w:val="both"/>
        <w:spacing w:before="100" w:after="0"/>
        <w:ind w:start="720"/>
      </w:pPr>
      <w:r>
        <w:rPr/>
        <w:t>A</w:t>
        <w:t xml:space="preserve">.  </w:t>
      </w:r>
      <w:r>
        <w:rPr/>
      </w:r>
      <w:r>
        <w:t xml:space="preserve">A final license, permit or approval necessary for construction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§1965-C. Construction of a connector to Gorham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§1965-C. Construction of a connector to Gorham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§1965-C. CONSTRUCTION OF A CONNECTOR TO GORHAM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