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Part owner may redeem</w:t>
      </w:r>
    </w:p>
    <w:p>
      <w:pPr>
        <w:jc w:val="both"/>
        <w:spacing w:before="100" w:after="100"/>
        <w:ind w:start="360"/>
        <w:ind w:firstLine="360"/>
      </w:pPr>
      <w:r>
        <w:rPr/>
      </w:r>
      <w:r>
        <w:rPr/>
      </w:r>
      <w:r>
        <w:t xml:space="preserve">Any person having a legal interest in a tract so advertised, sold or forfeited may redeem his interest by paying within the times prescribed the amount so required to discharge the claim thereon. The rate of interest upon unpaid assessments by county commissioners for opening and making roads shall be 6% a year, commencing at the expiration of one year from the date of the assessments, except when otherwise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§2004. Part owner may redeem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Part owner may redeem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§2004. PART OWNER MAY REDEEM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