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§2065. Judgment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Judgment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§2065. JUDGMENT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